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B9" w:rsidRPr="00F16FB9" w:rsidRDefault="00F16FB9" w:rsidP="00F16FB9">
      <w:pPr>
        <w:spacing w:after="0" w:line="240" w:lineRule="auto"/>
        <w:ind w:firstLine="709"/>
        <w:jc w:val="center"/>
        <w:rPr>
          <w:rFonts w:ascii="Times New Roman" w:hAnsi="Times New Roman" w:cs="Times New Roman"/>
          <w:b/>
          <w:color w:val="222222"/>
          <w:sz w:val="24"/>
          <w:szCs w:val="24"/>
          <w:shd w:val="clear" w:color="auto" w:fill="FCFDFD"/>
        </w:rPr>
      </w:pPr>
      <w:r w:rsidRPr="00F16FB9">
        <w:rPr>
          <w:rFonts w:ascii="Times New Roman" w:hAnsi="Times New Roman" w:cs="Times New Roman"/>
          <w:b/>
          <w:color w:val="222222"/>
          <w:sz w:val="24"/>
          <w:szCs w:val="24"/>
          <w:shd w:val="clear" w:color="auto" w:fill="FCFDFD"/>
        </w:rPr>
        <w:t>Відомості, що зазначають в одноразовій (спеціальній) добровільній декларації</w:t>
      </w: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Відповідно до п.</w:t>
      </w:r>
      <w:r>
        <w:rPr>
          <w:rFonts w:ascii="Times New Roman" w:hAnsi="Times New Roman" w:cs="Times New Roman"/>
          <w:color w:val="222222"/>
          <w:sz w:val="24"/>
          <w:szCs w:val="24"/>
          <w:shd w:val="clear" w:color="auto" w:fill="FCFDFD"/>
        </w:rPr>
        <w:t xml:space="preserve"> </w:t>
      </w:r>
      <w:r w:rsidRPr="00F16FB9">
        <w:rPr>
          <w:rFonts w:ascii="Times New Roman" w:hAnsi="Times New Roman" w:cs="Times New Roman"/>
          <w:color w:val="222222"/>
          <w:sz w:val="24"/>
          <w:szCs w:val="24"/>
          <w:shd w:val="clear" w:color="auto" w:fill="FCFDFD"/>
        </w:rPr>
        <w:t xml:space="preserve">п. 6.1 п. 6 </w:t>
      </w:r>
      <w:proofErr w:type="spellStart"/>
      <w:r w:rsidRPr="00F16FB9">
        <w:rPr>
          <w:rFonts w:ascii="Times New Roman" w:hAnsi="Times New Roman" w:cs="Times New Roman"/>
          <w:color w:val="222222"/>
          <w:sz w:val="24"/>
          <w:szCs w:val="24"/>
          <w:shd w:val="clear" w:color="auto" w:fill="FCFDFD"/>
        </w:rPr>
        <w:t>підрозд</w:t>
      </w:r>
      <w:proofErr w:type="spellEnd"/>
      <w:r w:rsidRPr="00F16FB9">
        <w:rPr>
          <w:rFonts w:ascii="Times New Roman" w:hAnsi="Times New Roman" w:cs="Times New Roman"/>
          <w:color w:val="222222"/>
          <w:sz w:val="24"/>
          <w:szCs w:val="24"/>
          <w:shd w:val="clear" w:color="auto" w:fill="FCFDFD"/>
        </w:rPr>
        <w:t xml:space="preserve">. 9 прим. 4 </w:t>
      </w:r>
      <w:proofErr w:type="spellStart"/>
      <w:r w:rsidRPr="00F16FB9">
        <w:rPr>
          <w:rFonts w:ascii="Times New Roman" w:hAnsi="Times New Roman" w:cs="Times New Roman"/>
          <w:color w:val="222222"/>
          <w:sz w:val="24"/>
          <w:szCs w:val="24"/>
          <w:shd w:val="clear" w:color="auto" w:fill="FCFDFD"/>
        </w:rPr>
        <w:t>розд</w:t>
      </w:r>
      <w:proofErr w:type="spellEnd"/>
      <w:r w:rsidRPr="00F16FB9">
        <w:rPr>
          <w:rFonts w:ascii="Times New Roman" w:hAnsi="Times New Roman" w:cs="Times New Roman"/>
          <w:color w:val="222222"/>
          <w:sz w:val="24"/>
          <w:szCs w:val="24"/>
          <w:shd w:val="clear" w:color="auto" w:fill="FCFDFD"/>
        </w:rPr>
        <w:t xml:space="preserve">. XX «Перехідні положення» Податкового кодексу України (далі – ПКУ) для цілей </w:t>
      </w:r>
      <w:proofErr w:type="spellStart"/>
      <w:r w:rsidRPr="00F16FB9">
        <w:rPr>
          <w:rFonts w:ascii="Times New Roman" w:hAnsi="Times New Roman" w:cs="Times New Roman"/>
          <w:color w:val="222222"/>
          <w:sz w:val="24"/>
          <w:szCs w:val="24"/>
          <w:shd w:val="clear" w:color="auto" w:fill="FCFDFD"/>
        </w:rPr>
        <w:t>підрозд</w:t>
      </w:r>
      <w:proofErr w:type="spellEnd"/>
      <w:r w:rsidRPr="00F16FB9">
        <w:rPr>
          <w:rFonts w:ascii="Times New Roman" w:hAnsi="Times New Roman" w:cs="Times New Roman"/>
          <w:color w:val="222222"/>
          <w:sz w:val="24"/>
          <w:szCs w:val="24"/>
          <w:shd w:val="clear" w:color="auto" w:fill="FCFDFD"/>
        </w:rPr>
        <w:t xml:space="preserve">. 9 прим. 4 </w:t>
      </w:r>
      <w:proofErr w:type="spellStart"/>
      <w:r w:rsidRPr="00F16FB9">
        <w:rPr>
          <w:rFonts w:ascii="Times New Roman" w:hAnsi="Times New Roman" w:cs="Times New Roman"/>
          <w:color w:val="222222"/>
          <w:sz w:val="24"/>
          <w:szCs w:val="24"/>
          <w:shd w:val="clear" w:color="auto" w:fill="FCFDFD"/>
        </w:rPr>
        <w:t>розд</w:t>
      </w:r>
      <w:proofErr w:type="spellEnd"/>
      <w:r w:rsidRPr="00F16FB9">
        <w:rPr>
          <w:rFonts w:ascii="Times New Roman" w:hAnsi="Times New Roman" w:cs="Times New Roman"/>
          <w:color w:val="222222"/>
          <w:sz w:val="24"/>
          <w:szCs w:val="24"/>
          <w:shd w:val="clear" w:color="auto" w:fill="FCFDFD"/>
        </w:rPr>
        <w:t>. XX «Перехідні положення» ПКУ одноразова (спеціальна) добровільна декларація (далі – Декларація) – це декларація, в якій відображається така інформація (дані):</w:t>
      </w: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відомості про декларанта, достатні для його ідентифікації (прізвище, ім’я, по батькові, реєстраційний номер облікової картки платника податків або у визначених ПКУ випадках – серія (за наявності) та номер паспорта громадянина України);</w:t>
      </w: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відомості про об’єкти декларування, визначені п.</w:t>
      </w:r>
      <w:r>
        <w:rPr>
          <w:rFonts w:ascii="Times New Roman" w:hAnsi="Times New Roman" w:cs="Times New Roman"/>
          <w:color w:val="222222"/>
          <w:sz w:val="24"/>
          <w:szCs w:val="24"/>
          <w:shd w:val="clear" w:color="auto" w:fill="FCFDFD"/>
        </w:rPr>
        <w:t xml:space="preserve"> </w:t>
      </w:r>
      <w:r w:rsidRPr="00F16FB9">
        <w:rPr>
          <w:rFonts w:ascii="Times New Roman" w:hAnsi="Times New Roman" w:cs="Times New Roman"/>
          <w:color w:val="222222"/>
          <w:sz w:val="24"/>
          <w:szCs w:val="24"/>
          <w:shd w:val="clear" w:color="auto" w:fill="FCFDFD"/>
        </w:rPr>
        <w:t xml:space="preserve">п. «а» п. 4 </w:t>
      </w:r>
      <w:proofErr w:type="spellStart"/>
      <w:r w:rsidRPr="00F16FB9">
        <w:rPr>
          <w:rFonts w:ascii="Times New Roman" w:hAnsi="Times New Roman" w:cs="Times New Roman"/>
          <w:color w:val="222222"/>
          <w:sz w:val="24"/>
          <w:szCs w:val="24"/>
          <w:shd w:val="clear" w:color="auto" w:fill="FCFDFD"/>
        </w:rPr>
        <w:t>підрозд</w:t>
      </w:r>
      <w:proofErr w:type="spellEnd"/>
      <w:r w:rsidRPr="00F16FB9">
        <w:rPr>
          <w:rFonts w:ascii="Times New Roman" w:hAnsi="Times New Roman" w:cs="Times New Roman"/>
          <w:color w:val="222222"/>
          <w:sz w:val="24"/>
          <w:szCs w:val="24"/>
          <w:shd w:val="clear" w:color="auto" w:fill="FCFDFD"/>
        </w:rPr>
        <w:t xml:space="preserve">. 9 прим. 4 </w:t>
      </w:r>
      <w:proofErr w:type="spellStart"/>
      <w:r w:rsidRPr="00F16FB9">
        <w:rPr>
          <w:rFonts w:ascii="Times New Roman" w:hAnsi="Times New Roman" w:cs="Times New Roman"/>
          <w:color w:val="222222"/>
          <w:sz w:val="24"/>
          <w:szCs w:val="24"/>
          <w:shd w:val="clear" w:color="auto" w:fill="FCFDFD"/>
        </w:rPr>
        <w:t>розд</w:t>
      </w:r>
      <w:proofErr w:type="spellEnd"/>
      <w:r w:rsidRPr="00F16FB9">
        <w:rPr>
          <w:rFonts w:ascii="Times New Roman" w:hAnsi="Times New Roman" w:cs="Times New Roman"/>
          <w:color w:val="222222"/>
          <w:sz w:val="24"/>
          <w:szCs w:val="24"/>
          <w:shd w:val="clear" w:color="auto" w:fill="FCFDFD"/>
        </w:rPr>
        <w:t>. XX «Перехідні положення» ПКУ, в обсязі, достатньому для ідентифікації кожного з них, зокрема, дані про вид, розмір та валюту активу, класифікацію банківських металів. Для грошових активів фізичної особи, розміщених на рахунках у банках або внесених до кредитних спілок та інших небанківських фінансових установ, в Декларації зазначається найменування та інші відомості про банківську або небанківську фінансову установу (код за Єдиним державним реєстром підприємств та організацій України; якщо така установа є іноземною юридичною особою – зазначається код, присвоєний органом реєстрації юридичних осіб відповідної держави), в якій відкриті відповідні рахунки, на яких зберігаються валютні цінності, або до якої зроблені відповідні внески, та відповідно до законодавства засвідчений документ, що підтверджує наявність задекларованих грошових активів фізичної особи на відповідному рахунку.</w:t>
      </w: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Для прав грошової вимоги (у тому числі грошових коштів, позичених декларантом третім особам за договором позики) в Декларації зазначається найменування та інші відомості про юридичну особу – боржника (код за Єдиним державним реєстром підприємств та організацій України; якщо така установа є іноземною юридичною особою – зазначається код, присвоєний органом реєстрації юридичних осіб відповідної держави, або прізвище, ім’я, по батькові та реєстраційний номер облікової картки платника податків (або у визначених ПКУ випадках – серія (за наявності) та номер паспорта громадянина України чи відповідний документ, що посвідчує особу іноземця або особу без громадянства) фізичної особи – боржника, номер та дата документа, що підтверджує право грошової вимоги;</w:t>
      </w: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відомості про об’єкти декларування, визначені п.</w:t>
      </w:r>
      <w:r>
        <w:rPr>
          <w:rFonts w:ascii="Times New Roman" w:hAnsi="Times New Roman" w:cs="Times New Roman"/>
          <w:color w:val="222222"/>
          <w:sz w:val="24"/>
          <w:szCs w:val="24"/>
          <w:shd w:val="clear" w:color="auto" w:fill="FCFDFD"/>
        </w:rPr>
        <w:t xml:space="preserve"> </w:t>
      </w:r>
      <w:r w:rsidRPr="00F16FB9">
        <w:rPr>
          <w:rFonts w:ascii="Times New Roman" w:hAnsi="Times New Roman" w:cs="Times New Roman"/>
          <w:color w:val="222222"/>
          <w:sz w:val="24"/>
          <w:szCs w:val="24"/>
          <w:shd w:val="clear" w:color="auto" w:fill="FCFDFD"/>
        </w:rPr>
        <w:t>п. «</w:t>
      </w:r>
      <w:proofErr w:type="spellStart"/>
      <w:r w:rsidRPr="00F16FB9">
        <w:rPr>
          <w:rFonts w:ascii="Times New Roman" w:hAnsi="Times New Roman" w:cs="Times New Roman"/>
          <w:color w:val="222222"/>
          <w:sz w:val="24"/>
          <w:szCs w:val="24"/>
          <w:shd w:val="clear" w:color="auto" w:fill="FCFDFD"/>
        </w:rPr>
        <w:t>б»</w:t>
      </w:r>
      <w:r>
        <w:rPr>
          <w:rFonts w:ascii="Times New Roman" w:hAnsi="Times New Roman" w:cs="Times New Roman"/>
          <w:color w:val="222222"/>
          <w:sz w:val="24"/>
          <w:szCs w:val="24"/>
          <w:shd w:val="clear" w:color="auto" w:fill="FCFDFD"/>
        </w:rPr>
        <w:t>-</w:t>
      </w:r>
      <w:r w:rsidRPr="00F16FB9">
        <w:rPr>
          <w:rFonts w:ascii="Times New Roman" w:hAnsi="Times New Roman" w:cs="Times New Roman"/>
          <w:color w:val="222222"/>
          <w:sz w:val="24"/>
          <w:szCs w:val="24"/>
          <w:shd w:val="clear" w:color="auto" w:fill="FCFDFD"/>
        </w:rPr>
        <w:t>«е</w:t>
      </w:r>
      <w:proofErr w:type="spellEnd"/>
      <w:r w:rsidRPr="00F16FB9">
        <w:rPr>
          <w:rFonts w:ascii="Times New Roman" w:hAnsi="Times New Roman" w:cs="Times New Roman"/>
          <w:color w:val="222222"/>
          <w:sz w:val="24"/>
          <w:szCs w:val="24"/>
          <w:shd w:val="clear" w:color="auto" w:fill="FCFDFD"/>
        </w:rPr>
        <w:t xml:space="preserve">» п. 4 </w:t>
      </w:r>
      <w:proofErr w:type="spellStart"/>
      <w:r w:rsidRPr="00F16FB9">
        <w:rPr>
          <w:rFonts w:ascii="Times New Roman" w:hAnsi="Times New Roman" w:cs="Times New Roman"/>
          <w:color w:val="222222"/>
          <w:sz w:val="24"/>
          <w:szCs w:val="24"/>
          <w:shd w:val="clear" w:color="auto" w:fill="FCFDFD"/>
        </w:rPr>
        <w:t>підрозд</w:t>
      </w:r>
      <w:proofErr w:type="spellEnd"/>
      <w:r w:rsidRPr="00F16FB9">
        <w:rPr>
          <w:rFonts w:ascii="Times New Roman" w:hAnsi="Times New Roman" w:cs="Times New Roman"/>
          <w:color w:val="222222"/>
          <w:sz w:val="24"/>
          <w:szCs w:val="24"/>
          <w:shd w:val="clear" w:color="auto" w:fill="FCFDFD"/>
        </w:rPr>
        <w:t xml:space="preserve">. 9 прим. 4 </w:t>
      </w:r>
      <w:proofErr w:type="spellStart"/>
      <w:r w:rsidRPr="00F16FB9">
        <w:rPr>
          <w:rFonts w:ascii="Times New Roman" w:hAnsi="Times New Roman" w:cs="Times New Roman"/>
          <w:color w:val="222222"/>
          <w:sz w:val="24"/>
          <w:szCs w:val="24"/>
          <w:shd w:val="clear" w:color="auto" w:fill="FCFDFD"/>
        </w:rPr>
        <w:t>розд</w:t>
      </w:r>
      <w:proofErr w:type="spellEnd"/>
      <w:r w:rsidRPr="00F16FB9">
        <w:rPr>
          <w:rFonts w:ascii="Times New Roman" w:hAnsi="Times New Roman" w:cs="Times New Roman"/>
          <w:color w:val="222222"/>
          <w:sz w:val="24"/>
          <w:szCs w:val="24"/>
          <w:shd w:val="clear" w:color="auto" w:fill="FCFDFD"/>
        </w:rPr>
        <w:t>. XX «Перехідні положення»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w:t>
      </w: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самостійно визначена декларантом у національній валюті база для нарахування збору з одноразового (спеціального) добровільного декларування. До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п.</w:t>
      </w:r>
      <w:r>
        <w:rPr>
          <w:rFonts w:ascii="Times New Roman" w:hAnsi="Times New Roman" w:cs="Times New Roman"/>
          <w:color w:val="222222"/>
          <w:sz w:val="24"/>
          <w:szCs w:val="24"/>
          <w:shd w:val="clear" w:color="auto" w:fill="FCFDFD"/>
        </w:rPr>
        <w:t xml:space="preserve"> </w:t>
      </w:r>
      <w:r w:rsidRPr="00F16FB9">
        <w:rPr>
          <w:rFonts w:ascii="Times New Roman" w:hAnsi="Times New Roman" w:cs="Times New Roman"/>
          <w:color w:val="222222"/>
          <w:sz w:val="24"/>
          <w:szCs w:val="24"/>
          <w:shd w:val="clear" w:color="auto" w:fill="FCFDFD"/>
        </w:rPr>
        <w:t xml:space="preserve">п. «а» п. 4 </w:t>
      </w:r>
      <w:proofErr w:type="spellStart"/>
      <w:r w:rsidRPr="00F16FB9">
        <w:rPr>
          <w:rFonts w:ascii="Times New Roman" w:hAnsi="Times New Roman" w:cs="Times New Roman"/>
          <w:color w:val="222222"/>
          <w:sz w:val="24"/>
          <w:szCs w:val="24"/>
          <w:shd w:val="clear" w:color="auto" w:fill="FCFDFD"/>
        </w:rPr>
        <w:t>підрозд</w:t>
      </w:r>
      <w:proofErr w:type="spellEnd"/>
      <w:r w:rsidRPr="00F16FB9">
        <w:rPr>
          <w:rFonts w:ascii="Times New Roman" w:hAnsi="Times New Roman" w:cs="Times New Roman"/>
          <w:color w:val="222222"/>
          <w:sz w:val="24"/>
          <w:szCs w:val="24"/>
          <w:shd w:val="clear" w:color="auto" w:fill="FCFDFD"/>
        </w:rPr>
        <w:t xml:space="preserve">. 9 прим. 4 </w:t>
      </w:r>
      <w:proofErr w:type="spellStart"/>
      <w:r w:rsidRPr="00F16FB9">
        <w:rPr>
          <w:rFonts w:ascii="Times New Roman" w:hAnsi="Times New Roman" w:cs="Times New Roman"/>
          <w:color w:val="222222"/>
          <w:sz w:val="24"/>
          <w:szCs w:val="24"/>
          <w:shd w:val="clear" w:color="auto" w:fill="FCFDFD"/>
        </w:rPr>
        <w:t>розд</w:t>
      </w:r>
      <w:proofErr w:type="spellEnd"/>
      <w:r w:rsidRPr="00F16FB9">
        <w:rPr>
          <w:rFonts w:ascii="Times New Roman" w:hAnsi="Times New Roman" w:cs="Times New Roman"/>
          <w:color w:val="222222"/>
          <w:sz w:val="24"/>
          <w:szCs w:val="24"/>
          <w:shd w:val="clear" w:color="auto" w:fill="FCFDFD"/>
        </w:rPr>
        <w:t>. XX «Перехідні положення»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w:t>
      </w:r>
    </w:p>
    <w:p w:rsidR="00F16FB9"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ставка та сума збору з одноразового (спеціального) добровільного декларування.</w:t>
      </w:r>
    </w:p>
    <w:p w:rsidR="00F16FB9" w:rsidRDefault="00AC56FD" w:rsidP="00F16FB9">
      <w:pPr>
        <w:spacing w:after="0" w:line="240" w:lineRule="auto"/>
        <w:ind w:firstLine="709"/>
        <w:jc w:val="both"/>
        <w:rPr>
          <w:rFonts w:ascii="Times New Roman" w:hAnsi="Times New Roman" w:cs="Times New Roman"/>
          <w:color w:val="222222"/>
          <w:sz w:val="24"/>
          <w:szCs w:val="24"/>
          <w:shd w:val="clear" w:color="auto" w:fill="FCFDFD"/>
        </w:rPr>
      </w:pPr>
      <w:r>
        <w:rPr>
          <w:rFonts w:ascii="Times New Roman" w:hAnsi="Times New Roman" w:cs="Times New Roman"/>
          <w:color w:val="222222"/>
          <w:sz w:val="24"/>
          <w:szCs w:val="24"/>
          <w:shd w:val="clear" w:color="auto" w:fill="FCFDFD"/>
        </w:rPr>
        <w:t>У</w:t>
      </w:r>
      <w:r w:rsidR="00F16FB9" w:rsidRPr="00F16FB9">
        <w:rPr>
          <w:rFonts w:ascii="Times New Roman" w:hAnsi="Times New Roman" w:cs="Times New Roman"/>
          <w:color w:val="222222"/>
          <w:sz w:val="24"/>
          <w:szCs w:val="24"/>
          <w:shd w:val="clear" w:color="auto" w:fill="FCFDFD"/>
        </w:rPr>
        <w:t xml:space="preserve"> Декларації не зазначається інформація про джерела одержання (набуття) декларантом об’єктів декларування. Контролюючому органу забороняється вимагати додаткові документи, крім передбачених п. 6 </w:t>
      </w:r>
      <w:proofErr w:type="spellStart"/>
      <w:r w:rsidR="00F16FB9" w:rsidRPr="00F16FB9">
        <w:rPr>
          <w:rFonts w:ascii="Times New Roman" w:hAnsi="Times New Roman" w:cs="Times New Roman"/>
          <w:color w:val="222222"/>
          <w:sz w:val="24"/>
          <w:szCs w:val="24"/>
          <w:shd w:val="clear" w:color="auto" w:fill="FCFDFD"/>
        </w:rPr>
        <w:t>підрозд</w:t>
      </w:r>
      <w:proofErr w:type="spellEnd"/>
      <w:r w:rsidR="00F16FB9" w:rsidRPr="00F16FB9">
        <w:rPr>
          <w:rFonts w:ascii="Times New Roman" w:hAnsi="Times New Roman" w:cs="Times New Roman"/>
          <w:color w:val="222222"/>
          <w:sz w:val="24"/>
          <w:szCs w:val="24"/>
          <w:shd w:val="clear" w:color="auto" w:fill="FCFDFD"/>
        </w:rPr>
        <w:t xml:space="preserve">. 9 прим. 4 </w:t>
      </w:r>
      <w:proofErr w:type="spellStart"/>
      <w:r w:rsidR="00F16FB9" w:rsidRPr="00F16FB9">
        <w:rPr>
          <w:rFonts w:ascii="Times New Roman" w:hAnsi="Times New Roman" w:cs="Times New Roman"/>
          <w:color w:val="222222"/>
          <w:sz w:val="24"/>
          <w:szCs w:val="24"/>
          <w:shd w:val="clear" w:color="auto" w:fill="FCFDFD"/>
        </w:rPr>
        <w:t>розд</w:t>
      </w:r>
      <w:proofErr w:type="spellEnd"/>
      <w:r w:rsidR="00F16FB9" w:rsidRPr="00F16FB9">
        <w:rPr>
          <w:rFonts w:ascii="Times New Roman" w:hAnsi="Times New Roman" w:cs="Times New Roman"/>
          <w:color w:val="222222"/>
          <w:sz w:val="24"/>
          <w:szCs w:val="24"/>
          <w:shd w:val="clear" w:color="auto" w:fill="FCFDFD"/>
        </w:rPr>
        <w:t>. XX «Перехідні положення».</w:t>
      </w:r>
    </w:p>
    <w:p w:rsidR="007B7753" w:rsidRDefault="00F16FB9" w:rsidP="00F16FB9">
      <w:pPr>
        <w:spacing w:after="0" w:line="240" w:lineRule="auto"/>
        <w:ind w:firstLine="709"/>
        <w:jc w:val="both"/>
        <w:rPr>
          <w:rFonts w:ascii="Times New Roman" w:hAnsi="Times New Roman" w:cs="Times New Roman"/>
          <w:color w:val="222222"/>
          <w:sz w:val="24"/>
          <w:szCs w:val="24"/>
          <w:shd w:val="clear" w:color="auto" w:fill="FCFDFD"/>
        </w:rPr>
      </w:pPr>
      <w:r w:rsidRPr="00F16FB9">
        <w:rPr>
          <w:rFonts w:ascii="Times New Roman" w:hAnsi="Times New Roman" w:cs="Times New Roman"/>
          <w:color w:val="222222"/>
          <w:sz w:val="24"/>
          <w:szCs w:val="24"/>
          <w:shd w:val="clear" w:color="auto" w:fill="FCFDFD"/>
        </w:rPr>
        <w:t>Інформація, що міститься в Декларації, є податковою інформацією.</w:t>
      </w:r>
    </w:p>
    <w:p w:rsidR="00122BAD" w:rsidRPr="001A1836" w:rsidRDefault="00122BAD" w:rsidP="00122BAD">
      <w:pPr>
        <w:pStyle w:val="a3"/>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122BAD" w:rsidRPr="001A1836" w:rsidRDefault="00122BAD" w:rsidP="00122BAD">
      <w:pPr>
        <w:pStyle w:val="a3"/>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122BAD" w:rsidRPr="001A1836" w:rsidRDefault="00122BAD" w:rsidP="00122BAD">
      <w:pPr>
        <w:pStyle w:val="a3"/>
        <w:ind w:firstLine="709"/>
        <w:jc w:val="both"/>
        <w:rPr>
          <w:rFonts w:ascii="Times New Roman" w:hAnsi="Times New Roman"/>
          <w:sz w:val="24"/>
          <w:szCs w:val="24"/>
        </w:rPr>
      </w:pPr>
    </w:p>
    <w:p w:rsidR="00122BAD" w:rsidRPr="001A1836" w:rsidRDefault="00122BAD" w:rsidP="00122BAD">
      <w:pPr>
        <w:pStyle w:val="a3"/>
        <w:ind w:firstLine="709"/>
        <w:jc w:val="both"/>
        <w:rPr>
          <w:rFonts w:ascii="Times New Roman" w:hAnsi="Times New Roman"/>
          <w:sz w:val="24"/>
          <w:szCs w:val="24"/>
        </w:rPr>
      </w:pPr>
      <w:r w:rsidRPr="001A1836">
        <w:rPr>
          <w:rFonts w:ascii="Times New Roman" w:hAnsi="Times New Roman"/>
          <w:sz w:val="24"/>
          <w:szCs w:val="24"/>
        </w:rPr>
        <w:lastRenderedPageBreak/>
        <w:t>Людмила КОБЕЛЬ</w:t>
      </w:r>
    </w:p>
    <w:p w:rsidR="00122BAD" w:rsidRPr="001A1836" w:rsidRDefault="00122BAD" w:rsidP="00122BAD">
      <w:pPr>
        <w:spacing w:after="0" w:line="240" w:lineRule="auto"/>
        <w:ind w:firstLine="709"/>
        <w:jc w:val="both"/>
        <w:rPr>
          <w:rFonts w:ascii="Times New Roman" w:hAnsi="Times New Roman"/>
          <w:sz w:val="24"/>
          <w:szCs w:val="24"/>
        </w:rPr>
      </w:pPr>
    </w:p>
    <w:p w:rsidR="00122BAD" w:rsidRPr="001A1836" w:rsidRDefault="00122BAD" w:rsidP="00122BAD">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122BAD" w:rsidRPr="001A1836" w:rsidRDefault="00122BAD" w:rsidP="00122BAD">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122BAD" w:rsidRPr="001A1836" w:rsidRDefault="00122BAD" w:rsidP="00122BAD">
      <w:pPr>
        <w:spacing w:after="0" w:line="240" w:lineRule="auto"/>
        <w:ind w:firstLine="709"/>
        <w:jc w:val="both"/>
        <w:rPr>
          <w:rFonts w:ascii="Times New Roman" w:hAnsi="Times New Roman" w:cs="Times New Roman"/>
          <w:sz w:val="24"/>
          <w:szCs w:val="24"/>
          <w:lang w:val="en-US"/>
        </w:rPr>
      </w:pPr>
    </w:p>
    <w:p w:rsidR="00122BAD" w:rsidRPr="001A1836" w:rsidRDefault="00122BAD" w:rsidP="00122BAD">
      <w:pPr>
        <w:spacing w:after="0" w:line="240" w:lineRule="auto"/>
        <w:ind w:firstLine="709"/>
        <w:jc w:val="both"/>
        <w:rPr>
          <w:rFonts w:ascii="Times New Roman" w:hAnsi="Times New Roman" w:cs="Times New Roman"/>
          <w:sz w:val="24"/>
          <w:szCs w:val="24"/>
        </w:rPr>
      </w:pPr>
    </w:p>
    <w:p w:rsidR="00122BAD" w:rsidRPr="00F16FB9" w:rsidRDefault="00122BAD" w:rsidP="00F16FB9">
      <w:pPr>
        <w:spacing w:after="0" w:line="240" w:lineRule="auto"/>
        <w:ind w:firstLine="709"/>
        <w:jc w:val="both"/>
        <w:rPr>
          <w:rFonts w:ascii="Times New Roman" w:hAnsi="Times New Roman" w:cs="Times New Roman"/>
          <w:sz w:val="24"/>
          <w:szCs w:val="24"/>
        </w:rPr>
      </w:pPr>
    </w:p>
    <w:sectPr w:rsidR="00122BAD" w:rsidRPr="00F16FB9"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FB9"/>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2BAD"/>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C56F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5ED9"/>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16FB9"/>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BA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2571</Words>
  <Characters>1467</Characters>
  <Application>Microsoft Office Word</Application>
  <DocSecurity>0</DocSecurity>
  <Lines>12</Lines>
  <Paragraphs>8</Paragraphs>
  <ScaleCrop>false</ScaleCrop>
  <Company>SFS In Ternopil reg.</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3</cp:revision>
  <dcterms:created xsi:type="dcterms:W3CDTF">2022-06-10T08:11:00Z</dcterms:created>
  <dcterms:modified xsi:type="dcterms:W3CDTF">2022-06-17T06:00:00Z</dcterms:modified>
</cp:coreProperties>
</file>